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甘肃省小陇山林业保护中心第</w:t>
      </w:r>
      <w:r>
        <w:rPr>
          <w:rFonts w:hint="eastAsia" w:ascii="方正小标宋简体" w:hAnsi="黑体" w:eastAsia="方正小标宋简体" w:cs="仿宋_GB2312"/>
          <w:sz w:val="36"/>
          <w:szCs w:val="36"/>
          <w:lang w:val="en-US" w:eastAsia="zh-CN"/>
        </w:rPr>
        <w:t>五</w:t>
      </w:r>
      <w:r>
        <w:rPr>
          <w:rFonts w:hint="eastAsia" w:ascii="方正小标宋简体" w:hAnsi="黑体" w:eastAsia="方正小标宋简体" w:cs="仿宋_GB2312"/>
          <w:sz w:val="36"/>
          <w:szCs w:val="36"/>
        </w:rPr>
        <w:t>届科普讲解大赛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实施方案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一、大赛目的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贯彻落实党的二十大精神和习近平总书记关于“科技创新、科学普及是实现创新发展的两翼，要把科学普及放在与科技创新同等重要位置”的重要指示，深入实施创新驱动发展战略，决定举办甘肃省小陇山林业保护中心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届科普讲解大赛暨甘肃省第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届科普讲解大赛预选赛，旨在通过大赛广泛普及科学知识，弘扬科学精神，传播科学思想，倡导科学方法，动员全社会主动支持、积极投身建设世界科技强国的伟大实践，让科技发展成果更多更广泛地惠及全体人民，不断满足人民日益增长的美好生活需要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二、大赛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时间安排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日前。报名需填写甘肃省小陇山林业保护中心第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届科普讲解大赛选手报名表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暂定202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日，选手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日上午报道，抽签，拷贝讲解PPT或视频材料，下午彩排。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三、竞赛内容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内容为自主命题讲解、随机命题讲解和科技常识问答三部分。自主命题和随机命题讲解主题内容以《中国公民科学素质基准》中的自然科学和社会科学知识为主，自主命题环节选手可通过表述设定场景和对象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自主命题</w:t>
      </w:r>
      <w:r>
        <w:rPr>
          <w:rFonts w:hint="eastAsia" w:ascii="仿宋_GB2312" w:hAnsi="仿宋_GB2312" w:eastAsia="仿宋_GB2312" w:cs="仿宋_GB2312"/>
          <w:sz w:val="32"/>
          <w:szCs w:val="32"/>
        </w:rPr>
        <w:t>讲解时间为4分钟，由选手自行确定一个科普内容命题进行讲解，可通过表述设定场景和对象，同一推荐单位的选手不得选用重复命题。讲解时，选手必须借助多媒体等多种手段辅助进行讲解，丰富舞台效果。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随机命题</w:t>
      </w:r>
      <w:r>
        <w:rPr>
          <w:rFonts w:hint="eastAsia" w:ascii="仿宋_GB2312" w:hAnsi="仿宋_GB2312" w:eastAsia="仿宋_GB2312" w:cs="仿宋_GB2312"/>
          <w:sz w:val="32"/>
          <w:szCs w:val="32"/>
        </w:rPr>
        <w:t>讲解时间为2分钟，考核选手的随机应变能力和对相关问题的个人见解，随机命题为看图讲解，共10道题目。具体内容由选手现场随机抽取确定，讲解内容必须与图片内容密切相关。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科技常识测试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每题限时10秒，科技常识问答主要考察选手的科技素养与知识水平，比赛时由选手随机从题库《中国公民科学素质基准》中抽取两道题目进行回答。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选手出场时，播放20秒自我介绍视频。该环节不作比赛评分，视频由选手自行准备。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四、比赛规则及评分标准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（一）赛制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选手抽签确定上场顺序，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号码牌上场。依次进行自主命题讲解、随机命题讲解、科技常识测试。按得分高低排序产生前5名优胜选手推荐参加202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年全国科普讲解大赛预选赛暨甘肃省第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届科普讲解大赛。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  <w:lang w:bidi="bo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（二）评分标准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比赛总分100分，评分保留到小数点后一位，超时、少时由记分员进行扣分记录。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1.自主命题讲解（70分）。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专家评委分别从内容陈述、表达效果、整体形象三方面进行评分。内容必须包含自然科学和技术知识，否则不得分。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①内容陈述（30分）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科学准确、健康向上；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层次清楚、合乎逻辑。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2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表达效果（30分）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发音标准、吐字清晰；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通俗易懂、深入浅出。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3 \* GB3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整体形象（10分）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衣着得体、精神饱满；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举止大方、自然协调。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2.随机命题讲解（30分）。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有10个图片供选手选择，选手选取图片后，根据图片内容进行讲解。选手可在20秒准备时间后开始计时讲解。内容必须与图片密切相关，并包含自然科学和技术知识，否则不得分。专家评委将根据以下四个方面进行评分，超时则由记分员进行扣分记录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①主题立论一致，合乎逻辑；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②内容重点突出，寓意深刻；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③密切联系生活，特色鲜明；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④讲解思路清晰，语言流畅。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自主命题讲解限时4分钟，不足3分钟扣2分，超时10秒后讲解中止扣2分。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随机命题讲解限时2分钟，不足1分钟扣2分，超时10秒后讲解中止扣2分。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3.科技常识测试。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本环节选手每人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《中国公民科学素质基准》中随机选取2道科技常识问题进行回答，由记分员在监督组的监督下根据答题情况记录选手扣分情况。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回答正确不扣分，不回答或回答错误1题扣1分，2题扣2分。科技常识问答每题限时10秒，选手须在10秒内作答，超时不得分。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  <w:lang w:bidi="bo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（三）评分方式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评委共同对比赛环节的自主命题讲解和随机命题讲解进行打分。打分采用现场打分、亮分和公布成绩的方式，去掉一个最高分和一个最低分，其他专家评委打分的平均数为选手最终得分。将选手的自主命题讲解分数、随机命题讲解分数及超时、少时等扣分的分数相加，得出该选手的分数。若遇选手总分数相同则按专家评委的第二个最高分高低决定名次，若专家评委的第二个最高分相同则按第三个最高分高低决定名次，以此类推；若遇专家评委具体打分均相同，则抽签决定名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五、奖项设置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（一）一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 w:bidi="bo-CN"/>
        </w:rPr>
        <w:t>、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二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 w:bidi="bo-CN"/>
        </w:rPr>
        <w:t>、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三等奖。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比赛评选出的排名为第1-5名选手将分别获得甘肃省小陇山林业保护中心第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届科普讲解大赛一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三等奖 （一等奖1名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二等奖2名、三等奖2名）颁发获奖证书。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（二）优秀奖。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比赛评选出评分排名6-10的5名选手获甘肃省小陇山林业保护中心第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届科普讲解大赛优秀奖，颁发获奖证书。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（三）优秀组织奖。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bo-CN"/>
        </w:rPr>
        <w:t>设2个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优秀组织奖，对本次大赛的优秀组织单位进行表彰。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六、其他要求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（一）报名时间及要求。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各单位参赛人员填写《甘肃省小陇山林业保护中心第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届科普讲解大赛选手报名表》报名，报名截止日期为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日。参赛选手稿件（PPT）及个人视频介绍材料提交至中心科教处（613室）或大赛会务组邮箱。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（二）讲解要求。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选手讲解时可说明情景设置情况，明确讲解对象。要求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耳麦，拿遥控器或激光笔，全程自行操作视频或PPT等播放设备，不得由他人协助。高清视频的像素尺寸1920×1080，H.264编码压缩，MP4格式。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PPT（可配有背景音乐）须为WPS通用版本，画面比例16:9，PPT第一页无动作无声音（用于后台画面准备），选手自行操作到第二页开始声音和动作效果，PPT中若插入视频请用MP4格式，PPT大小不超过500M。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  <w:lang w:bidi="bo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bidi="bo-CN"/>
        </w:rPr>
        <w:t>（三）联系方式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姚慧敏 梁晶晶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话：0938-2736142-8613</w:t>
      </w:r>
    </w:p>
    <w:p>
      <w:pPr>
        <w:spacing w:line="640" w:lineRule="exact"/>
        <w:ind w:firstLine="645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Q   Q: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3226908085</w:t>
      </w:r>
    </w:p>
    <w:p>
      <w:pPr>
        <w:spacing w:line="64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邮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"mailto:3226908085@qq.com"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3226908085@qq.com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</w:p>
    <w:p>
      <w:pPr>
        <w:spacing w:line="640" w:lineRule="exact"/>
        <w:ind w:firstLine="645"/>
        <w:rPr>
          <w:rFonts w:ascii="宋体" w:hAnsi="宋体" w:cs="宋体"/>
          <w:snapToGrid w:val="0"/>
          <w:kern w:val="0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本实施方案由大赛会务组负责解释，相关资料在“小陇山信息员群”下载。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655"/>
        </w:tabs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</w:pPr>
    </w:p>
    <w:p>
      <w:pPr>
        <w:tabs>
          <w:tab w:val="left" w:pos="7655"/>
        </w:tabs>
        <w:adjustRightInd w:val="0"/>
        <w:snapToGrid w:val="0"/>
        <w:spacing w:line="360" w:lineRule="auto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655"/>
        </w:tabs>
        <w:adjustRightInd w:val="0"/>
        <w:snapToGrid w:val="0"/>
        <w:spacing w:line="360" w:lineRule="auto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655"/>
        </w:tabs>
        <w:adjustRightInd w:val="0"/>
        <w:snapToGrid w:val="0"/>
        <w:spacing w:line="360" w:lineRule="auto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MDI3ZjdhNTgyMDk4NGI4NTE3YWFkMzhiNDYzYTAifQ=="/>
  </w:docVars>
  <w:rsids>
    <w:rsidRoot w:val="537C26BF"/>
    <w:rsid w:val="00073956"/>
    <w:rsid w:val="000800E1"/>
    <w:rsid w:val="000D6E02"/>
    <w:rsid w:val="001549A2"/>
    <w:rsid w:val="00165017"/>
    <w:rsid w:val="002719BA"/>
    <w:rsid w:val="003C1F98"/>
    <w:rsid w:val="003E6C9E"/>
    <w:rsid w:val="004C621C"/>
    <w:rsid w:val="005763DA"/>
    <w:rsid w:val="005D42DA"/>
    <w:rsid w:val="006C20FD"/>
    <w:rsid w:val="007071FA"/>
    <w:rsid w:val="00716D41"/>
    <w:rsid w:val="00796CB4"/>
    <w:rsid w:val="007B6994"/>
    <w:rsid w:val="007C0DC6"/>
    <w:rsid w:val="00821146"/>
    <w:rsid w:val="008B060A"/>
    <w:rsid w:val="00963F04"/>
    <w:rsid w:val="00986BA1"/>
    <w:rsid w:val="00A16035"/>
    <w:rsid w:val="00AB1731"/>
    <w:rsid w:val="00AF276B"/>
    <w:rsid w:val="00BA777B"/>
    <w:rsid w:val="00BB1B9F"/>
    <w:rsid w:val="00BF4181"/>
    <w:rsid w:val="00CC694B"/>
    <w:rsid w:val="00CE3B89"/>
    <w:rsid w:val="00D04514"/>
    <w:rsid w:val="00DA6141"/>
    <w:rsid w:val="00DD738B"/>
    <w:rsid w:val="00DF12FE"/>
    <w:rsid w:val="00E5043D"/>
    <w:rsid w:val="00EC0D64"/>
    <w:rsid w:val="00F577AD"/>
    <w:rsid w:val="00FD762D"/>
    <w:rsid w:val="05F45A09"/>
    <w:rsid w:val="07082684"/>
    <w:rsid w:val="14C06FF4"/>
    <w:rsid w:val="157B57FF"/>
    <w:rsid w:val="1BB235FD"/>
    <w:rsid w:val="1EB22117"/>
    <w:rsid w:val="24D76A68"/>
    <w:rsid w:val="2C243500"/>
    <w:rsid w:val="2CAA6F73"/>
    <w:rsid w:val="2E8801BC"/>
    <w:rsid w:val="2F034443"/>
    <w:rsid w:val="2FF16036"/>
    <w:rsid w:val="37774D6F"/>
    <w:rsid w:val="3A9C574C"/>
    <w:rsid w:val="46A41735"/>
    <w:rsid w:val="48C52312"/>
    <w:rsid w:val="491D3EFC"/>
    <w:rsid w:val="4D9C7AE5"/>
    <w:rsid w:val="4F583EE0"/>
    <w:rsid w:val="50446212"/>
    <w:rsid w:val="518777A8"/>
    <w:rsid w:val="52992845"/>
    <w:rsid w:val="537C26BF"/>
    <w:rsid w:val="54157B14"/>
    <w:rsid w:val="565847C5"/>
    <w:rsid w:val="56D27768"/>
    <w:rsid w:val="589C4E3D"/>
    <w:rsid w:val="5AA51A15"/>
    <w:rsid w:val="77BC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框文本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507</Words>
  <Characters>2894</Characters>
  <Lines>24</Lines>
  <Paragraphs>6</Paragraphs>
  <TotalTime>7</TotalTime>
  <ScaleCrop>false</ScaleCrop>
  <LinksUpToDate>false</LinksUpToDate>
  <CharactersWithSpaces>3395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2023-03-01T07:59:00Z</dcterms:created>
  <dc:creator>Administrator</dc:creator>
  <cp:lastModifiedBy>河里有马</cp:lastModifiedBy>
  <cp:lastPrinted>2023-03-24T02:36:00Z</cp:lastPrinted>
  <dcterms:modified xsi:type="dcterms:W3CDTF">2024-03-18T07:16:38Z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B974A2E279D148FBA9CCE4EE4495C03E_13</vt:lpwstr>
  </property>
</Properties>
</file>